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858" w:rsidRDefault="00FD7FF7" w:rsidP="00FD7FF7">
      <w:pPr>
        <w:jc w:val="right"/>
      </w:pPr>
      <w:r w:rsidRPr="003E6D5D">
        <w:rPr>
          <w:noProof/>
          <w:lang w:val="en-US" w:eastAsia="en-US"/>
        </w:rPr>
        <w:drawing>
          <wp:anchor distT="0" distB="0" distL="114300" distR="114300" simplePos="0" relativeHeight="251659264" behindDoc="0" locked="0" layoutInCell="1" allowOverlap="1" wp14:anchorId="4EA43EBF" wp14:editId="0E080200">
            <wp:simplePos x="0" y="0"/>
            <wp:positionH relativeFrom="column">
              <wp:posOffset>5296535</wp:posOffset>
            </wp:positionH>
            <wp:positionV relativeFrom="paragraph">
              <wp:posOffset>38100</wp:posOffset>
            </wp:positionV>
            <wp:extent cx="628650" cy="663575"/>
            <wp:effectExtent l="0" t="0" r="6350" b="0"/>
            <wp:wrapThrough wrapText="bothSides">
              <wp:wrapPolygon edited="0">
                <wp:start x="0" y="0"/>
                <wp:lineTo x="0" y="20670"/>
                <wp:lineTo x="20945" y="20670"/>
                <wp:lineTo x="2094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FF7">
        <w:rPr>
          <w:noProof/>
          <w:lang w:val="en-US" w:eastAsia="en-US"/>
        </w:rPr>
        <w:drawing>
          <wp:inline distT="0" distB="0" distL="0" distR="0" wp14:anchorId="5A80CF2E" wp14:editId="1A98F2E7">
            <wp:extent cx="700807" cy="6858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168" cy="693004"/>
                    </a:xfrm>
                    <a:prstGeom prst="rect">
                      <a:avLst/>
                    </a:prstGeom>
                    <a:noFill/>
                    <a:ln>
                      <a:noFill/>
                    </a:ln>
                  </pic:spPr>
                </pic:pic>
              </a:graphicData>
            </a:graphic>
          </wp:inline>
        </w:drawing>
      </w:r>
    </w:p>
    <w:p w:rsidR="00CC5858" w:rsidRDefault="00CC5858" w:rsidP="00CC5858">
      <w:pPr>
        <w:rPr>
          <w:rFonts w:ascii="Times New Roman" w:hAnsi="Times New Roman"/>
          <w:b/>
          <w:sz w:val="36"/>
          <w:szCs w:val="36"/>
        </w:rPr>
      </w:pPr>
      <w:r w:rsidRPr="00747CE8">
        <w:rPr>
          <w:noProof/>
          <w:lang w:val="en-US" w:eastAsia="en-US"/>
        </w:rPr>
        <w:drawing>
          <wp:inline distT="0" distB="0" distL="0" distR="0" wp14:anchorId="477BFD08" wp14:editId="7AA6E58F">
            <wp:extent cx="2793928" cy="301478"/>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7678" cy="301883"/>
                    </a:xfrm>
                    <a:prstGeom prst="rect">
                      <a:avLst/>
                    </a:prstGeom>
                    <a:noFill/>
                    <a:ln>
                      <a:noFill/>
                    </a:ln>
                  </pic:spPr>
                </pic:pic>
              </a:graphicData>
            </a:graphic>
          </wp:inline>
        </w:drawing>
      </w:r>
    </w:p>
    <w:p w:rsidR="00CC5858" w:rsidRDefault="00CC5858" w:rsidP="00CC5858">
      <w:pPr>
        <w:pStyle w:val="ReportTitleFirstPage"/>
        <w:pBdr>
          <w:bottom w:val="none" w:sz="0" w:space="0" w:color="auto"/>
        </w:pBdr>
        <w:spacing w:before="0" w:after="0"/>
        <w:ind w:firstLine="567"/>
        <w:jc w:val="center"/>
        <w:rPr>
          <w:rStyle w:val="CoverPage-NameofPresenter"/>
          <w:rFonts w:eastAsiaTheme="majorEastAsia"/>
          <w:b w:val="0"/>
          <w:color w:val="auto"/>
          <w:szCs w:val="24"/>
        </w:rPr>
      </w:pPr>
    </w:p>
    <w:p w:rsidR="00CB7977" w:rsidRPr="00CB7977" w:rsidRDefault="00FD7FF7" w:rsidP="00CB7977">
      <w:pPr>
        <w:jc w:val="center"/>
        <w:rPr>
          <w:rFonts w:ascii="Arial Black" w:eastAsiaTheme="minorHAnsi" w:hAnsi="Arial Black" w:cstheme="minorBidi"/>
          <w:color w:val="2F5496" w:themeColor="accent5" w:themeShade="BF"/>
          <w:sz w:val="28"/>
          <w:szCs w:val="28"/>
          <w:lang w:val="en-US" w:eastAsia="en-US"/>
        </w:rPr>
      </w:pPr>
      <w:r w:rsidRPr="00FD7FF7">
        <w:rPr>
          <w:rFonts w:ascii="Arial Black" w:eastAsiaTheme="minorHAnsi" w:hAnsi="Arial Black" w:cstheme="minorBidi"/>
          <w:color w:val="2F5496" w:themeColor="accent5" w:themeShade="BF"/>
          <w:sz w:val="28"/>
          <w:szCs w:val="28"/>
          <w:lang w:val="en-US" w:eastAsia="en-US"/>
        </w:rPr>
        <w:t>Environment Trust Fund</w:t>
      </w:r>
      <w:r>
        <w:rPr>
          <w:rFonts w:ascii="Arial Black" w:eastAsiaTheme="minorHAnsi" w:hAnsi="Arial Black" w:cstheme="minorBidi"/>
          <w:color w:val="2F5496" w:themeColor="accent5" w:themeShade="BF"/>
          <w:sz w:val="28"/>
          <w:szCs w:val="28"/>
          <w:lang w:val="en-US" w:eastAsia="en-US"/>
        </w:rPr>
        <w:t xml:space="preserve"> # 1</w:t>
      </w:r>
    </w:p>
    <w:p w:rsidR="00CB7977" w:rsidRPr="00CB7977" w:rsidRDefault="00CB7977" w:rsidP="00CB7977">
      <w:pPr>
        <w:jc w:val="center"/>
        <w:rPr>
          <w:rFonts w:ascii="Arial Black" w:eastAsiaTheme="minorHAnsi" w:hAnsi="Arial Black" w:cstheme="minorBidi"/>
          <w:color w:val="2F5496" w:themeColor="accent5" w:themeShade="BF"/>
          <w:sz w:val="28"/>
          <w:szCs w:val="28"/>
          <w:lang w:val="en-US" w:eastAsia="en-US"/>
        </w:rPr>
      </w:pPr>
    </w:p>
    <w:p w:rsidR="00CB7977" w:rsidRPr="00CB7977" w:rsidRDefault="00CB7977" w:rsidP="00CB7977">
      <w:pPr>
        <w:jc w:val="center"/>
        <w:rPr>
          <w:rFonts w:ascii="Arial Black" w:eastAsiaTheme="minorHAnsi" w:hAnsi="Arial Black" w:cstheme="minorBidi"/>
          <w:color w:val="2F5496" w:themeColor="accent5" w:themeShade="BF"/>
          <w:sz w:val="28"/>
          <w:szCs w:val="28"/>
          <w:lang w:val="en-US" w:eastAsia="en-US"/>
        </w:rPr>
      </w:pPr>
      <w:r w:rsidRPr="00CB7977">
        <w:rPr>
          <w:rFonts w:ascii="Arial Black" w:eastAsiaTheme="minorHAnsi" w:hAnsi="Arial Black" w:cstheme="minorBidi"/>
          <w:color w:val="2F5496" w:themeColor="accent5" w:themeShade="BF"/>
          <w:sz w:val="28"/>
          <w:szCs w:val="28"/>
          <w:lang w:val="en-US" w:eastAsia="en-US"/>
        </w:rPr>
        <w:t>REQUEST FOR PROPOSAL</w:t>
      </w:r>
    </w:p>
    <w:p w:rsidR="00CB7977" w:rsidRDefault="00723DC1" w:rsidP="00705834">
      <w:pPr>
        <w:jc w:val="center"/>
        <w:rPr>
          <w:rFonts w:ascii="Arial Black" w:eastAsiaTheme="minorHAnsi" w:hAnsi="Arial Black" w:cstheme="minorBidi"/>
          <w:color w:val="2F5496" w:themeColor="accent5" w:themeShade="BF"/>
          <w:sz w:val="28"/>
          <w:szCs w:val="28"/>
          <w:lang w:val="en-US" w:eastAsia="en-US"/>
        </w:rPr>
      </w:pPr>
      <w:r>
        <w:rPr>
          <w:rFonts w:ascii="Arial Black" w:eastAsiaTheme="minorHAnsi" w:hAnsi="Arial Black" w:cstheme="minorBidi"/>
          <w:color w:val="2F5496" w:themeColor="accent5" w:themeShade="BF"/>
          <w:sz w:val="28"/>
          <w:szCs w:val="28"/>
          <w:lang w:val="en-US" w:eastAsia="en-US"/>
        </w:rPr>
        <w:t xml:space="preserve">15 April </w:t>
      </w:r>
      <w:r w:rsidR="00034A7C">
        <w:rPr>
          <w:rFonts w:ascii="Arial Black" w:eastAsiaTheme="minorHAnsi" w:hAnsi="Arial Black" w:cstheme="minorBidi"/>
          <w:color w:val="2F5496" w:themeColor="accent5" w:themeShade="BF"/>
          <w:sz w:val="28"/>
          <w:szCs w:val="28"/>
          <w:lang w:val="en-US" w:eastAsia="en-US"/>
        </w:rPr>
        <w:t>202</w:t>
      </w:r>
      <w:r w:rsidR="00CD344F">
        <w:rPr>
          <w:rFonts w:ascii="Arial Black" w:eastAsiaTheme="minorHAnsi" w:hAnsi="Arial Black" w:cstheme="minorBidi"/>
          <w:color w:val="2F5496" w:themeColor="accent5" w:themeShade="BF"/>
          <w:sz w:val="28"/>
          <w:szCs w:val="28"/>
          <w:lang w:val="en-US" w:eastAsia="en-US"/>
        </w:rPr>
        <w:t>6</w:t>
      </w:r>
      <w:r w:rsidR="00E674C5">
        <w:rPr>
          <w:rFonts w:ascii="Arial Black" w:eastAsiaTheme="minorHAnsi" w:hAnsi="Arial Black" w:cstheme="minorBidi"/>
          <w:color w:val="2F5496" w:themeColor="accent5" w:themeShade="BF"/>
          <w:sz w:val="28"/>
          <w:szCs w:val="28"/>
          <w:lang w:val="en-US" w:eastAsia="en-US"/>
        </w:rPr>
        <w:t xml:space="preserve"> to </w:t>
      </w:r>
      <w:r w:rsidR="00BE179A">
        <w:rPr>
          <w:rFonts w:ascii="Arial Black" w:eastAsiaTheme="minorHAnsi" w:hAnsi="Arial Black" w:cstheme="minorBidi"/>
          <w:color w:val="2F5496" w:themeColor="accent5" w:themeShade="BF"/>
          <w:sz w:val="28"/>
          <w:szCs w:val="28"/>
          <w:lang w:val="en-US" w:eastAsia="en-US"/>
        </w:rPr>
        <w:t xml:space="preserve">27 May </w:t>
      </w:r>
      <w:r w:rsidR="00C47312">
        <w:rPr>
          <w:rFonts w:ascii="Arial Black" w:eastAsiaTheme="minorHAnsi" w:hAnsi="Arial Black" w:cstheme="minorBidi"/>
          <w:color w:val="2F5496" w:themeColor="accent5" w:themeShade="BF"/>
          <w:sz w:val="28"/>
          <w:szCs w:val="28"/>
          <w:lang w:val="en-US" w:eastAsia="en-US"/>
        </w:rPr>
        <w:t>202</w:t>
      </w:r>
      <w:r w:rsidR="00CD344F">
        <w:rPr>
          <w:rFonts w:ascii="Arial Black" w:eastAsiaTheme="minorHAnsi" w:hAnsi="Arial Black" w:cstheme="minorBidi"/>
          <w:color w:val="2F5496" w:themeColor="accent5" w:themeShade="BF"/>
          <w:sz w:val="28"/>
          <w:szCs w:val="28"/>
          <w:lang w:val="en-US" w:eastAsia="en-US"/>
        </w:rPr>
        <w:t>6</w:t>
      </w:r>
    </w:p>
    <w:p w:rsidR="00C47312" w:rsidRDefault="00C47312" w:rsidP="00EC33E2">
      <w:pPr>
        <w:jc w:val="both"/>
        <w:rPr>
          <w:rFonts w:asciiTheme="minorHAnsi" w:eastAsia="Calibri" w:hAnsiTheme="minorHAnsi" w:cstheme="minorHAnsi"/>
          <w:b/>
          <w:bCs/>
          <w:i/>
          <w:iCs/>
          <w:sz w:val="24"/>
          <w:lang w:val="en-US" w:eastAsia="en-US"/>
        </w:rPr>
      </w:pPr>
    </w:p>
    <w:p w:rsidR="00CB7977" w:rsidRPr="00742744" w:rsidRDefault="00CB7977" w:rsidP="00EC33E2">
      <w:pPr>
        <w:jc w:val="both"/>
        <w:rPr>
          <w:sz w:val="23"/>
          <w:szCs w:val="23"/>
        </w:rPr>
      </w:pPr>
      <w:r w:rsidRPr="00742744">
        <w:rPr>
          <w:b/>
          <w:sz w:val="23"/>
          <w:szCs w:val="23"/>
        </w:rPr>
        <w:t>Seychelles Conservation and Climate Chan</w:t>
      </w:r>
      <w:r w:rsidR="00A1578A" w:rsidRPr="00742744">
        <w:rPr>
          <w:b/>
          <w:sz w:val="23"/>
          <w:szCs w:val="23"/>
        </w:rPr>
        <w:t>ge Adaptation Trust (SeyCCAT</w:t>
      </w:r>
      <w:r w:rsidRPr="00742744">
        <w:rPr>
          <w:b/>
          <w:sz w:val="23"/>
          <w:szCs w:val="23"/>
        </w:rPr>
        <w:t>)</w:t>
      </w:r>
      <w:r w:rsidRPr="00742744">
        <w:rPr>
          <w:sz w:val="23"/>
          <w:szCs w:val="23"/>
        </w:rPr>
        <w:t xml:space="preserve"> is an independent trust fund that empowers sustainable development of Seychelles’ blue economy by supporting impactful projects that address climate change and marine conservation challenges in the country.  SeyCCAT grants are competitively awarded to public, private, and non-profit applicants based in Seychelles. </w:t>
      </w:r>
    </w:p>
    <w:p w:rsidR="00FD7FF7" w:rsidRDefault="00FD7FF7" w:rsidP="00EC33E2">
      <w:pPr>
        <w:jc w:val="both"/>
        <w:rPr>
          <w:rFonts w:asciiTheme="minorHAnsi" w:eastAsia="Calibri" w:hAnsiTheme="minorHAnsi" w:cstheme="minorHAnsi"/>
          <w:bCs/>
          <w:i/>
          <w:iCs/>
          <w:sz w:val="24"/>
          <w:lang w:val="en-US" w:eastAsia="en-US"/>
        </w:rPr>
      </w:pPr>
    </w:p>
    <w:p w:rsidR="00FD7FF7" w:rsidRPr="00037D46" w:rsidRDefault="00FD7FF7" w:rsidP="00EC33E2">
      <w:pPr>
        <w:jc w:val="both"/>
        <w:rPr>
          <w:rFonts w:asciiTheme="minorHAnsi" w:eastAsia="Calibri" w:hAnsiTheme="minorHAnsi" w:cstheme="minorHAnsi"/>
          <w:bCs/>
          <w:i/>
          <w:iCs/>
          <w:sz w:val="24"/>
          <w:lang w:val="en-US" w:eastAsia="en-US"/>
        </w:rPr>
      </w:pPr>
      <w:r w:rsidRPr="00FD7FF7">
        <w:rPr>
          <w:b/>
          <w:sz w:val="23"/>
          <w:szCs w:val="23"/>
        </w:rPr>
        <w:t>The Environment Trust Fund (ETF)</w:t>
      </w:r>
      <w:r>
        <w:rPr>
          <w:sz w:val="23"/>
          <w:szCs w:val="23"/>
        </w:rPr>
        <w:t xml:space="preserve"> was established in 1994 (The Environment Trust Fund Order, S.I 39 of 1994), under the Public Finances (Control and Management) Act. The Order was revised in April 2017 and again in 2020. The Ministry of </w:t>
      </w:r>
      <w:r w:rsidR="00A1578A">
        <w:rPr>
          <w:sz w:val="23"/>
          <w:szCs w:val="23"/>
        </w:rPr>
        <w:t>Environment, Climate, Energy and Natural Resources (MECENR)</w:t>
      </w:r>
      <w:r>
        <w:rPr>
          <w:sz w:val="23"/>
          <w:szCs w:val="23"/>
        </w:rPr>
        <w:t>, through an Executive Committee, is responsible for the administration of the Fund.</w:t>
      </w:r>
    </w:p>
    <w:p w:rsidR="00CB7977" w:rsidRPr="00037D46" w:rsidRDefault="00CB7977" w:rsidP="00EC33E2">
      <w:pPr>
        <w:jc w:val="both"/>
        <w:rPr>
          <w:rFonts w:asciiTheme="minorHAnsi" w:eastAsia="Calibri" w:hAnsiTheme="minorHAnsi" w:cstheme="minorHAnsi"/>
          <w:bCs/>
          <w:i/>
          <w:iCs/>
          <w:sz w:val="24"/>
          <w:lang w:val="en-US" w:eastAsia="en-US"/>
        </w:rPr>
      </w:pPr>
    </w:p>
    <w:p w:rsidR="00CC5858" w:rsidRDefault="00CB7977" w:rsidP="001F35E0">
      <w:pPr>
        <w:jc w:val="both"/>
        <w:rPr>
          <w:rFonts w:asciiTheme="minorHAnsi" w:hAnsiTheme="minorHAnsi" w:cstheme="minorHAnsi"/>
          <w:sz w:val="24"/>
        </w:rPr>
      </w:pPr>
      <w:r w:rsidRPr="00037D46">
        <w:rPr>
          <w:rFonts w:asciiTheme="minorHAnsi" w:hAnsiTheme="minorHAnsi" w:cstheme="minorHAnsi"/>
          <w:b/>
          <w:bCs/>
          <w:sz w:val="24"/>
        </w:rPr>
        <w:t>SeyCCAT</w:t>
      </w:r>
      <w:r w:rsidR="00FD7FF7">
        <w:rPr>
          <w:rFonts w:asciiTheme="minorHAnsi" w:hAnsiTheme="minorHAnsi" w:cstheme="minorHAnsi"/>
          <w:b/>
          <w:bCs/>
          <w:sz w:val="24"/>
        </w:rPr>
        <w:t xml:space="preserve"> in collaboration with ETF are</w:t>
      </w:r>
      <w:r w:rsidRPr="00037D46">
        <w:rPr>
          <w:rFonts w:asciiTheme="minorHAnsi" w:hAnsiTheme="minorHAnsi" w:cstheme="minorHAnsi"/>
          <w:b/>
          <w:bCs/>
          <w:sz w:val="24"/>
        </w:rPr>
        <w:t xml:space="preserve"> pleased to launch Cycle </w:t>
      </w:r>
      <w:r w:rsidR="00B73A23">
        <w:rPr>
          <w:rFonts w:asciiTheme="minorHAnsi" w:hAnsiTheme="minorHAnsi" w:cstheme="minorHAnsi"/>
          <w:b/>
          <w:bCs/>
          <w:sz w:val="24"/>
        </w:rPr>
        <w:t>1</w:t>
      </w:r>
      <w:r w:rsidRPr="00037D46">
        <w:rPr>
          <w:rFonts w:asciiTheme="minorHAnsi" w:hAnsiTheme="minorHAnsi" w:cstheme="minorHAnsi"/>
          <w:b/>
          <w:bCs/>
          <w:sz w:val="24"/>
        </w:rPr>
        <w:t xml:space="preserve"> o</w:t>
      </w:r>
      <w:r w:rsidR="00B73A23">
        <w:rPr>
          <w:rFonts w:asciiTheme="minorHAnsi" w:hAnsiTheme="minorHAnsi" w:cstheme="minorHAnsi"/>
          <w:b/>
          <w:bCs/>
          <w:sz w:val="24"/>
        </w:rPr>
        <w:t xml:space="preserve">f the </w:t>
      </w:r>
      <w:r w:rsidR="00FD7FF7">
        <w:rPr>
          <w:rFonts w:asciiTheme="minorHAnsi" w:hAnsiTheme="minorHAnsi" w:cstheme="minorHAnsi"/>
          <w:b/>
          <w:bCs/>
          <w:sz w:val="24"/>
        </w:rPr>
        <w:t>Environment Trust Fund (ETF 1</w:t>
      </w:r>
      <w:r w:rsidR="00716E2B" w:rsidRPr="00037D46">
        <w:rPr>
          <w:rFonts w:asciiTheme="minorHAnsi" w:hAnsiTheme="minorHAnsi" w:cstheme="minorHAnsi"/>
          <w:b/>
          <w:bCs/>
          <w:sz w:val="24"/>
        </w:rPr>
        <w:t>)</w:t>
      </w:r>
      <w:r w:rsidR="00716E2B" w:rsidRPr="00037D46">
        <w:rPr>
          <w:rFonts w:asciiTheme="minorHAnsi" w:hAnsiTheme="minorHAnsi" w:cstheme="minorHAnsi"/>
          <w:bCs/>
          <w:sz w:val="24"/>
        </w:rPr>
        <w:t xml:space="preserve"> and</w:t>
      </w:r>
      <w:r w:rsidR="00716E2B" w:rsidRPr="00037D46">
        <w:rPr>
          <w:rFonts w:asciiTheme="minorHAnsi" w:hAnsiTheme="minorHAnsi" w:cstheme="minorHAnsi"/>
          <w:b/>
          <w:bCs/>
          <w:sz w:val="24"/>
        </w:rPr>
        <w:t xml:space="preserve"> </w:t>
      </w:r>
      <w:r w:rsidR="00742744">
        <w:rPr>
          <w:rFonts w:asciiTheme="minorHAnsi" w:hAnsiTheme="minorHAnsi" w:cstheme="minorHAnsi"/>
          <w:sz w:val="24"/>
        </w:rPr>
        <w:t xml:space="preserve">are </w:t>
      </w:r>
      <w:r w:rsidR="00716E2B" w:rsidRPr="00037D46">
        <w:rPr>
          <w:rFonts w:asciiTheme="minorHAnsi" w:hAnsiTheme="minorHAnsi" w:cstheme="minorHAnsi"/>
          <w:sz w:val="24"/>
        </w:rPr>
        <w:t xml:space="preserve">inviting all </w:t>
      </w:r>
      <w:r w:rsidR="00FD7FF7">
        <w:rPr>
          <w:sz w:val="23"/>
          <w:szCs w:val="23"/>
        </w:rPr>
        <w:t xml:space="preserve">locally registered non-governmental or community-based organizations; </w:t>
      </w:r>
      <w:r w:rsidR="00FD7FF7">
        <w:t xml:space="preserve">Districts; Parastatal organizations and Seychellois citizens </w:t>
      </w:r>
      <w:r w:rsidR="00716E2B" w:rsidRPr="00037D46">
        <w:rPr>
          <w:rFonts w:asciiTheme="minorHAnsi" w:hAnsiTheme="minorHAnsi" w:cstheme="minorHAnsi"/>
          <w:sz w:val="24"/>
        </w:rPr>
        <w:t xml:space="preserve">to apply for the </w:t>
      </w:r>
      <w:r w:rsidR="00FD7FF7">
        <w:rPr>
          <w:rFonts w:asciiTheme="minorHAnsi" w:hAnsiTheme="minorHAnsi" w:cstheme="minorHAnsi"/>
          <w:sz w:val="24"/>
        </w:rPr>
        <w:t>Environmental Trust Fund (ETF 1)</w:t>
      </w:r>
      <w:r w:rsidR="00716E2B" w:rsidRPr="00037D46">
        <w:rPr>
          <w:rFonts w:asciiTheme="minorHAnsi" w:hAnsiTheme="minorHAnsi" w:cstheme="minorHAnsi"/>
          <w:sz w:val="24"/>
        </w:rPr>
        <w:t xml:space="preserve"> </w:t>
      </w:r>
    </w:p>
    <w:p w:rsidR="001F35E0" w:rsidRPr="00037D46" w:rsidRDefault="001F35E0" w:rsidP="001F35E0">
      <w:pPr>
        <w:jc w:val="both"/>
        <w:rPr>
          <w:rFonts w:asciiTheme="minorHAnsi" w:hAnsiTheme="minorHAnsi" w:cstheme="minorHAnsi"/>
          <w:b/>
          <w:sz w:val="24"/>
        </w:rPr>
      </w:pPr>
    </w:p>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For this call for proposals, SeyCCAT and ETF are seeking projects that address one or more of the following strategic objectives:</w:t>
      </w:r>
    </w:p>
    <w:p w:rsidR="00CC5858" w:rsidRDefault="00CC5858" w:rsidP="00CC5858">
      <w:pPr>
        <w:rPr>
          <w:rFonts w:asciiTheme="minorHAnsi" w:hAnsiTheme="minorHAnsi" w:cstheme="minorHAnsi"/>
          <w:sz w:val="24"/>
        </w:rPr>
      </w:pPr>
    </w:p>
    <w:p w:rsidR="00FD7FF7" w:rsidRPr="00A1578A" w:rsidRDefault="00FD7FF7" w:rsidP="00A1578A">
      <w:pPr>
        <w:pStyle w:val="ListParagraph"/>
        <w:numPr>
          <w:ilvl w:val="0"/>
          <w:numId w:val="13"/>
        </w:numPr>
        <w:rPr>
          <w:rFonts w:asciiTheme="minorHAnsi" w:hAnsiTheme="minorHAnsi" w:cstheme="minorHAnsi"/>
          <w:sz w:val="24"/>
        </w:rPr>
      </w:pPr>
      <w:bookmarkStart w:id="0" w:name="_GoBack"/>
      <w:bookmarkEnd w:id="0"/>
      <w:r w:rsidRPr="00A1578A">
        <w:rPr>
          <w:rFonts w:asciiTheme="minorHAnsi" w:hAnsiTheme="minorHAnsi" w:cstheme="minorHAnsi"/>
          <w:sz w:val="24"/>
        </w:rPr>
        <w:t xml:space="preserve">Reduction of pollution </w:t>
      </w:r>
    </w:p>
    <w:p w:rsidR="00FD7FF7" w:rsidRPr="00A1578A" w:rsidRDefault="00FD7FF7" w:rsidP="00A1578A">
      <w:pPr>
        <w:pStyle w:val="ListParagraph"/>
        <w:numPr>
          <w:ilvl w:val="0"/>
          <w:numId w:val="13"/>
        </w:numPr>
        <w:rPr>
          <w:rFonts w:asciiTheme="minorHAnsi" w:hAnsiTheme="minorHAnsi" w:cstheme="minorHAnsi"/>
          <w:sz w:val="24"/>
        </w:rPr>
      </w:pPr>
      <w:r w:rsidRPr="00A1578A">
        <w:rPr>
          <w:rFonts w:asciiTheme="minorHAnsi" w:hAnsiTheme="minorHAnsi" w:cstheme="minorHAnsi"/>
          <w:sz w:val="24"/>
        </w:rPr>
        <w:t xml:space="preserve">Protection and management of the natural environment and biodiversity </w:t>
      </w:r>
    </w:p>
    <w:p w:rsidR="00FD7FF7" w:rsidRPr="00A1578A" w:rsidRDefault="00FD7FF7" w:rsidP="00A1578A">
      <w:pPr>
        <w:pStyle w:val="ListParagraph"/>
        <w:numPr>
          <w:ilvl w:val="0"/>
          <w:numId w:val="13"/>
        </w:numPr>
        <w:rPr>
          <w:rFonts w:asciiTheme="minorHAnsi" w:hAnsiTheme="minorHAnsi" w:cstheme="minorHAnsi"/>
          <w:sz w:val="24"/>
        </w:rPr>
      </w:pPr>
      <w:r w:rsidRPr="00A1578A">
        <w:rPr>
          <w:rFonts w:asciiTheme="minorHAnsi" w:hAnsiTheme="minorHAnsi" w:cstheme="minorHAnsi"/>
          <w:sz w:val="24"/>
        </w:rPr>
        <w:t xml:space="preserve">Sustainable development and its principles </w:t>
      </w:r>
    </w:p>
    <w:p w:rsidR="008D24AF" w:rsidRDefault="00FD7FF7" w:rsidP="00A1578A">
      <w:pPr>
        <w:pStyle w:val="ListParagraph"/>
        <w:numPr>
          <w:ilvl w:val="0"/>
          <w:numId w:val="13"/>
        </w:numPr>
        <w:rPr>
          <w:rFonts w:asciiTheme="minorHAnsi" w:hAnsiTheme="minorHAnsi" w:cstheme="minorHAnsi"/>
          <w:sz w:val="24"/>
        </w:rPr>
      </w:pPr>
      <w:r w:rsidRPr="00A1578A">
        <w:rPr>
          <w:rFonts w:asciiTheme="minorHAnsi" w:hAnsiTheme="minorHAnsi" w:cstheme="minorHAnsi"/>
          <w:sz w:val="24"/>
        </w:rPr>
        <w:t>Educational and sensitization materials/products, programmes and projects</w:t>
      </w:r>
    </w:p>
    <w:p w:rsidR="00A1578A" w:rsidRDefault="00A1578A" w:rsidP="00A1578A">
      <w:pPr>
        <w:rPr>
          <w:rFonts w:asciiTheme="minorHAnsi" w:hAnsiTheme="minorHAnsi" w:cstheme="minorHAnsi"/>
          <w:sz w:val="24"/>
        </w:rPr>
      </w:pPr>
    </w:p>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b/>
          <w:bCs/>
          <w:sz w:val="24"/>
          <w:lang w:val="en-US"/>
        </w:rPr>
        <w:t>WHAT WE WILL SUPPORT</w:t>
      </w:r>
    </w:p>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For this call for proposals, we will only support projects that fall within one or more of the following priority areas:</w:t>
      </w:r>
    </w:p>
    <w:p w:rsidR="00A1578A" w:rsidRPr="00A1578A" w:rsidRDefault="00A1578A" w:rsidP="00A1578A">
      <w:pPr>
        <w:rPr>
          <w:rFonts w:asciiTheme="minorHAnsi" w:hAnsiTheme="minorHAnsi" w:cstheme="minorHAnsi"/>
          <w:sz w:val="24"/>
          <w:lang w:val="en-US"/>
        </w:rPr>
      </w:pPr>
    </w:p>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b/>
          <w:bCs/>
          <w:sz w:val="24"/>
          <w:lang w:val="en-US"/>
        </w:rPr>
        <w:t>Environmental Protection &amp; Biodiversity Conservation</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Habitat restoration and protection initiatives for threatened species and ecosystems</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Invasive alien species management and eradication programmes</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Marine and coastal conservation and rehabilitation projects</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Watershed management and nature-based solutions</w:t>
      </w:r>
    </w:p>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b/>
          <w:bCs/>
          <w:sz w:val="24"/>
          <w:lang w:val="en-US"/>
        </w:rPr>
        <w:t>Pollution Reduction &amp; Waste Management</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Community and district clean-up and waste management initiatives</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Reduction of land-based pollution affecting marine and freshwater environments</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Promotion of recycling, composting, and sustainable waste solutions</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Campaigns targeting plastic pollution, littering, and illegal dumping</w:t>
      </w:r>
    </w:p>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b/>
          <w:bCs/>
          <w:sz w:val="24"/>
          <w:lang w:val="en-US"/>
        </w:rPr>
        <w:t>Environmental Education &amp; Awareness</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School environmental education programmes and curricula</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Public outreach and sensitisation campaigns on environmental issues</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Community engagement on sustainable development practices</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Attendance and participation in international environmental conferences and events</w:t>
      </w:r>
    </w:p>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b/>
          <w:bCs/>
          <w:sz w:val="24"/>
          <w:lang w:val="en-US"/>
        </w:rPr>
        <w:t>Research, Innovation &amp; Sustainable Development</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Scientific research into Seychelles' biodiversity, ecosystems and environmental challenges</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Applied research with practical environmental and socio-economic benefits</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Capacity building for organisations and individuals in environmental management</w:t>
      </w:r>
    </w:p>
    <w:p w:rsidR="00A1578A" w:rsidRPr="00A1578A" w:rsidRDefault="00A1578A" w:rsidP="00A1578A">
      <w:pPr>
        <w:numPr>
          <w:ilvl w:val="0"/>
          <w:numId w:val="15"/>
        </w:numPr>
        <w:rPr>
          <w:rFonts w:asciiTheme="minorHAnsi" w:hAnsiTheme="minorHAnsi" w:cstheme="minorHAnsi"/>
          <w:sz w:val="24"/>
          <w:lang w:val="en-US"/>
        </w:rPr>
      </w:pPr>
      <w:r w:rsidRPr="00A1578A">
        <w:rPr>
          <w:rFonts w:asciiTheme="minorHAnsi" w:hAnsiTheme="minorHAnsi" w:cstheme="minorHAnsi"/>
          <w:sz w:val="24"/>
          <w:lang w:val="en-US"/>
        </w:rPr>
        <w:t>Innovation and new approaches to sustainable resource use</w:t>
      </w:r>
    </w:p>
    <w:p w:rsidR="00A1578A" w:rsidRDefault="00A1578A" w:rsidP="00A1578A">
      <w:pPr>
        <w:rPr>
          <w:rFonts w:asciiTheme="minorHAnsi" w:hAnsiTheme="minorHAnsi" w:cstheme="minorHAnsi"/>
          <w:sz w:val="24"/>
        </w:rPr>
      </w:pPr>
    </w:p>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b/>
          <w:bCs/>
          <w:sz w:val="24"/>
          <w:lang w:val="en-US"/>
        </w:rPr>
        <w:t>GRANT CATEGORIES &amp; FUNDING LIMITS</w:t>
      </w:r>
    </w:p>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Applicants may apply under one of the following six grant categories:</w:t>
      </w:r>
    </w:p>
    <w:p w:rsidR="00A1578A" w:rsidRPr="00A1578A" w:rsidRDefault="00A1578A" w:rsidP="00A1578A">
      <w:pPr>
        <w:rPr>
          <w:rFonts w:asciiTheme="minorHAnsi" w:hAnsiTheme="minorHAnsi" w:cstheme="minorHAnsi"/>
          <w:sz w:val="24"/>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200"/>
        <w:gridCol w:w="2580"/>
        <w:gridCol w:w="2580"/>
      </w:tblGrid>
      <w:tr w:rsidR="00A1578A" w:rsidRPr="00A1578A" w:rsidTr="00A1578A">
        <w:tblPrEx>
          <w:tblCellMar>
            <w:top w:w="0" w:type="dxa"/>
            <w:bottom w:w="0" w:type="dxa"/>
          </w:tblCellMar>
        </w:tblPrEx>
        <w:tc>
          <w:tcPr>
            <w:tcW w:w="4200" w:type="dxa"/>
            <w:tcBorders>
              <w:top w:val="none" w:sz="0" w:space="0" w:color="FFFFFF"/>
              <w:left w:val="none" w:sz="0" w:space="0" w:color="FFFFFF"/>
              <w:bottom w:val="none" w:sz="0" w:space="0" w:color="FFFFFF"/>
              <w:right w:val="none" w:sz="0" w:space="0" w:color="FFFFFF"/>
            </w:tcBorders>
            <w:shd w:val="clear" w:color="auto" w:fill="FFFFFF" w:themeFill="background1"/>
            <w:tcMar>
              <w:top w:w="100" w:type="dxa"/>
              <w:left w:w="160" w:type="dxa"/>
              <w:bottom w:w="10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b/>
                <w:bCs/>
                <w:sz w:val="24"/>
                <w:lang w:val="en-US"/>
              </w:rPr>
              <w:t>Grant Category</w:t>
            </w:r>
          </w:p>
        </w:tc>
        <w:tc>
          <w:tcPr>
            <w:tcW w:w="2580" w:type="dxa"/>
            <w:tcBorders>
              <w:top w:val="none" w:sz="0" w:space="0" w:color="FFFFFF"/>
              <w:left w:val="none" w:sz="0" w:space="0" w:color="FFFFFF"/>
              <w:bottom w:val="none" w:sz="0" w:space="0" w:color="FFFFFF"/>
              <w:right w:val="none" w:sz="0" w:space="0" w:color="FFFFFF"/>
            </w:tcBorders>
            <w:shd w:val="clear" w:color="auto" w:fill="FFFFFF" w:themeFill="background1"/>
            <w:tcMar>
              <w:top w:w="100" w:type="dxa"/>
              <w:left w:w="160" w:type="dxa"/>
              <w:bottom w:w="10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b/>
                <w:bCs/>
                <w:sz w:val="24"/>
                <w:lang w:val="en-US"/>
              </w:rPr>
              <w:t>Maximum Grant</w:t>
            </w:r>
          </w:p>
        </w:tc>
        <w:tc>
          <w:tcPr>
            <w:tcW w:w="2580" w:type="dxa"/>
            <w:tcBorders>
              <w:top w:val="none" w:sz="0" w:space="0" w:color="FFFFFF"/>
              <w:left w:val="none" w:sz="0" w:space="0" w:color="FFFFFF"/>
              <w:bottom w:val="none" w:sz="0" w:space="0" w:color="FFFFFF"/>
              <w:right w:val="none" w:sz="0" w:space="0" w:color="FFFFFF"/>
            </w:tcBorders>
            <w:shd w:val="clear" w:color="auto" w:fill="FFFFFF" w:themeFill="background1"/>
            <w:tcMar>
              <w:top w:w="100" w:type="dxa"/>
              <w:left w:w="160" w:type="dxa"/>
              <w:bottom w:w="10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b/>
                <w:bCs/>
                <w:sz w:val="24"/>
                <w:lang w:val="en-US"/>
              </w:rPr>
              <w:t>Max Duration</w:t>
            </w:r>
          </w:p>
        </w:tc>
      </w:tr>
      <w:tr w:rsidR="00A1578A" w:rsidRPr="00A1578A" w:rsidTr="00A1578A">
        <w:tblPrEx>
          <w:tblCellMar>
            <w:top w:w="0" w:type="dxa"/>
            <w:bottom w:w="0" w:type="dxa"/>
          </w:tblCellMar>
        </w:tblPrEx>
        <w:tc>
          <w:tcPr>
            <w:tcW w:w="420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Capacity Building (trainings, workshops, research)</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SCR 100,000</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12 months</w:t>
            </w:r>
          </w:p>
        </w:tc>
      </w:tr>
      <w:tr w:rsidR="00A1578A" w:rsidRPr="00A1578A" w:rsidTr="00A1578A">
        <w:tblPrEx>
          <w:tblCellMar>
            <w:top w:w="0" w:type="dxa"/>
            <w:bottom w:w="0" w:type="dxa"/>
          </w:tblCellMar>
        </w:tblPrEx>
        <w:tc>
          <w:tcPr>
            <w:tcW w:w="420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Community Scientific Research</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SCR 40,000</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6 months</w:t>
            </w:r>
          </w:p>
        </w:tc>
      </w:tr>
      <w:tr w:rsidR="00A1578A" w:rsidRPr="00A1578A" w:rsidTr="00A1578A">
        <w:tblPrEx>
          <w:tblCellMar>
            <w:top w:w="0" w:type="dxa"/>
            <w:bottom w:w="0" w:type="dxa"/>
          </w:tblCellMar>
        </w:tblPrEx>
        <w:tc>
          <w:tcPr>
            <w:tcW w:w="420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NGO-led Environmental Projects</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SCR 200,000</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18 months</w:t>
            </w:r>
          </w:p>
        </w:tc>
      </w:tr>
      <w:tr w:rsidR="00A1578A" w:rsidRPr="00A1578A" w:rsidTr="00A1578A">
        <w:tblPrEx>
          <w:tblCellMar>
            <w:top w:w="0" w:type="dxa"/>
            <w:bottom w:w="0" w:type="dxa"/>
          </w:tblCellMar>
        </w:tblPrEx>
        <w:tc>
          <w:tcPr>
            <w:tcW w:w="420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Community-Based Environmental Initiatives</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SCR 50,000</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6 months</w:t>
            </w:r>
          </w:p>
        </w:tc>
      </w:tr>
      <w:tr w:rsidR="00A1578A" w:rsidRPr="00A1578A" w:rsidTr="00A1578A">
        <w:tblPrEx>
          <w:tblCellMar>
            <w:top w:w="0" w:type="dxa"/>
            <w:bottom w:w="0" w:type="dxa"/>
          </w:tblCellMar>
        </w:tblPrEx>
        <w:tc>
          <w:tcPr>
            <w:tcW w:w="420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Education &amp; Awareness Projects</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SCR 100,000</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6–12 months</w:t>
            </w:r>
          </w:p>
        </w:tc>
      </w:tr>
      <w:tr w:rsidR="00A1578A" w:rsidRPr="00A1578A" w:rsidTr="00A1578A">
        <w:tblPrEx>
          <w:tblCellMar>
            <w:top w:w="0" w:type="dxa"/>
            <w:bottom w:w="0" w:type="dxa"/>
          </w:tblCellMar>
        </w:tblPrEx>
        <w:tc>
          <w:tcPr>
            <w:tcW w:w="420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Attendance at International Environmental Events</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SCR 30,000</w:t>
            </w:r>
          </w:p>
        </w:tc>
        <w:tc>
          <w:tcPr>
            <w:tcW w:w="2580" w:type="dxa"/>
            <w:tcBorders>
              <w:top w:val="single" w:sz="1" w:space="0" w:color="CCCCCC"/>
              <w:left w:val="none" w:sz="0" w:space="0" w:color="FFFFFF"/>
              <w:bottom w:val="single" w:sz="1" w:space="0" w:color="CCCCCC"/>
              <w:right w:val="none" w:sz="0" w:space="0" w:color="FFFFFF"/>
            </w:tcBorders>
            <w:shd w:val="clear" w:color="auto" w:fill="FFFFFF" w:themeFill="background1"/>
            <w:tcMar>
              <w:top w:w="80" w:type="dxa"/>
              <w:left w:w="160" w:type="dxa"/>
              <w:bottom w:w="80" w:type="dxa"/>
              <w:right w:w="80" w:type="dxa"/>
            </w:tcMar>
          </w:tcPr>
          <w:p w:rsidR="00A1578A" w:rsidRPr="00A1578A" w:rsidRDefault="00A1578A" w:rsidP="00A1578A">
            <w:pPr>
              <w:rPr>
                <w:rFonts w:asciiTheme="minorHAnsi" w:hAnsiTheme="minorHAnsi" w:cstheme="minorHAnsi"/>
                <w:sz w:val="24"/>
                <w:lang w:val="en-US"/>
              </w:rPr>
            </w:pPr>
            <w:r w:rsidRPr="00A1578A">
              <w:rPr>
                <w:rFonts w:asciiTheme="minorHAnsi" w:hAnsiTheme="minorHAnsi" w:cstheme="minorHAnsi"/>
                <w:sz w:val="24"/>
                <w:lang w:val="en-US"/>
              </w:rPr>
              <w:t>One-off</w:t>
            </w:r>
          </w:p>
        </w:tc>
      </w:tr>
    </w:tbl>
    <w:p w:rsidR="00A1578A" w:rsidRDefault="00A1578A" w:rsidP="00A1578A">
      <w:pPr>
        <w:rPr>
          <w:rFonts w:asciiTheme="minorHAnsi" w:hAnsiTheme="minorHAnsi" w:cstheme="minorHAnsi"/>
          <w:sz w:val="24"/>
        </w:rPr>
      </w:pPr>
    </w:p>
    <w:p w:rsidR="00A1578A" w:rsidRDefault="00A1578A" w:rsidP="00A1578A">
      <w:pPr>
        <w:rPr>
          <w:rFonts w:asciiTheme="minorHAnsi" w:hAnsiTheme="minorHAnsi" w:cstheme="minorHAnsi"/>
          <w:sz w:val="24"/>
        </w:rPr>
      </w:pPr>
    </w:p>
    <w:p w:rsidR="00A1578A" w:rsidRDefault="00A1578A" w:rsidP="00A1578A">
      <w:pPr>
        <w:rPr>
          <w:rFonts w:asciiTheme="minorHAnsi" w:hAnsiTheme="minorHAnsi" w:cstheme="minorHAnsi"/>
          <w:sz w:val="24"/>
        </w:rPr>
      </w:pPr>
    </w:p>
    <w:p w:rsidR="00742744" w:rsidRPr="00742744" w:rsidRDefault="00742744" w:rsidP="00742744">
      <w:pPr>
        <w:rPr>
          <w:rFonts w:asciiTheme="minorHAnsi" w:hAnsiTheme="minorHAnsi" w:cstheme="minorHAnsi"/>
          <w:sz w:val="24"/>
          <w:lang w:val="en-US"/>
        </w:rPr>
      </w:pPr>
      <w:r w:rsidRPr="00742744">
        <w:rPr>
          <w:rFonts w:asciiTheme="minorHAnsi" w:hAnsiTheme="minorHAnsi" w:cstheme="minorHAnsi"/>
          <w:b/>
          <w:bCs/>
          <w:sz w:val="24"/>
          <w:lang w:val="en-US"/>
        </w:rPr>
        <w:t>HOW TO APPLY</w:t>
      </w:r>
    </w:p>
    <w:p w:rsidR="00742744" w:rsidRPr="00EC0F40" w:rsidRDefault="00742744" w:rsidP="00742744">
      <w:pPr>
        <w:rPr>
          <w:sz w:val="24"/>
        </w:rPr>
      </w:pPr>
      <w:r w:rsidRPr="00742744">
        <w:rPr>
          <w:rFonts w:asciiTheme="minorHAnsi" w:hAnsiTheme="minorHAnsi" w:cstheme="minorHAnsi"/>
          <w:sz w:val="24"/>
          <w:lang w:val="en-US"/>
        </w:rPr>
        <w:t>Applications must be submitted using the</w:t>
      </w:r>
      <w:r>
        <w:rPr>
          <w:rFonts w:asciiTheme="minorHAnsi" w:hAnsiTheme="minorHAnsi" w:cstheme="minorHAnsi"/>
          <w:sz w:val="24"/>
          <w:lang w:val="en-US"/>
        </w:rPr>
        <w:t xml:space="preserve"> official ETF Application Form.</w:t>
      </w:r>
      <w:r w:rsidRPr="00742744">
        <w:rPr>
          <w:rFonts w:asciiTheme="minorHAnsi" w:hAnsiTheme="minorHAnsi" w:cstheme="minorHAnsi"/>
          <w:b/>
          <w:bCs/>
          <w:sz w:val="24"/>
          <w:lang w:val="en-US"/>
        </w:rPr>
        <w:t xml:space="preserve"> </w:t>
      </w:r>
      <w:r w:rsidRPr="00742744">
        <w:rPr>
          <w:rFonts w:asciiTheme="minorHAnsi" w:hAnsiTheme="minorHAnsi" w:cstheme="minorHAnsi"/>
          <w:sz w:val="24"/>
          <w:lang w:val="en-US"/>
        </w:rPr>
        <w:t>Download the ETF Application Form</w:t>
      </w:r>
      <w:r>
        <w:rPr>
          <w:rFonts w:asciiTheme="minorHAnsi" w:hAnsiTheme="minorHAnsi" w:cstheme="minorHAnsi"/>
          <w:sz w:val="24"/>
          <w:lang w:val="en-US"/>
        </w:rPr>
        <w:t xml:space="preserve"> from </w:t>
      </w:r>
      <w:hyperlink r:id="rId10" w:history="1">
        <w:r w:rsidRPr="0056504C">
          <w:rPr>
            <w:rStyle w:val="Hyperlink"/>
            <w:rFonts w:asciiTheme="minorHAnsi" w:hAnsiTheme="minorHAnsi" w:cstheme="minorHAnsi"/>
            <w:sz w:val="24"/>
            <w:lang w:val="en-US"/>
          </w:rPr>
          <w:t>www.seyccat.org-</w:t>
        </w:r>
      </w:hyperlink>
      <w:r>
        <w:rPr>
          <w:rFonts w:asciiTheme="minorHAnsi" w:hAnsiTheme="minorHAnsi" w:cstheme="minorHAnsi"/>
          <w:sz w:val="24"/>
          <w:lang w:val="en-US"/>
        </w:rPr>
        <w:t xml:space="preserve"> </w:t>
      </w:r>
      <w:r w:rsidRPr="00742744">
        <w:rPr>
          <w:rFonts w:asciiTheme="minorHAnsi" w:hAnsiTheme="minorHAnsi" w:cstheme="minorHAnsi"/>
          <w:sz w:val="24"/>
          <w:lang w:val="en-US"/>
        </w:rPr>
        <w:t xml:space="preserve"> </w:t>
      </w:r>
      <w:r w:rsidRPr="00EC0F40">
        <w:rPr>
          <w:sz w:val="24"/>
        </w:rPr>
        <w:t>or</w:t>
      </w:r>
      <w:r>
        <w:rPr>
          <w:sz w:val="24"/>
        </w:rPr>
        <w:t xml:space="preserve"> submit an email</w:t>
      </w:r>
      <w:r w:rsidRPr="00EC0F40">
        <w:rPr>
          <w:sz w:val="24"/>
        </w:rPr>
        <w:t xml:space="preserve"> to </w:t>
      </w:r>
      <w:hyperlink r:id="rId11" w:history="1">
        <w:r w:rsidRPr="00EC0F40">
          <w:rPr>
            <w:color w:val="0563C1" w:themeColor="hyperlink"/>
            <w:sz w:val="24"/>
            <w:u w:val="single"/>
          </w:rPr>
          <w:t>info@seyccat.org</w:t>
        </w:r>
      </w:hyperlink>
      <w:r w:rsidRPr="00EC0F40">
        <w:rPr>
          <w:sz w:val="24"/>
        </w:rPr>
        <w:t xml:space="preserve"> to request the application information, or call us on: </w:t>
      </w:r>
      <w:r w:rsidRPr="00EC0F40">
        <w:rPr>
          <w:sz w:val="24"/>
          <w:u w:val="single"/>
        </w:rPr>
        <w:t>432 5806</w:t>
      </w:r>
      <w:r w:rsidRPr="00EC0F40">
        <w:rPr>
          <w:sz w:val="24"/>
        </w:rPr>
        <w:t>.</w:t>
      </w:r>
    </w:p>
    <w:p w:rsidR="00742744" w:rsidRPr="00EC0F40" w:rsidRDefault="00742744" w:rsidP="00742744">
      <w:pPr>
        <w:rPr>
          <w:sz w:val="24"/>
        </w:rPr>
      </w:pPr>
    </w:p>
    <w:p w:rsidR="00210B55" w:rsidRPr="002003FA" w:rsidRDefault="00EC0F40" w:rsidP="002003FA">
      <w:pPr>
        <w:jc w:val="center"/>
        <w:rPr>
          <w:b/>
          <w:color w:val="1F497D"/>
          <w:sz w:val="32"/>
        </w:rPr>
      </w:pPr>
      <w:r w:rsidRPr="00E674C5">
        <w:rPr>
          <w:b/>
          <w:color w:val="1F497D"/>
          <w:sz w:val="32"/>
        </w:rPr>
        <w:t>We look forward to receiving your proposal</w:t>
      </w:r>
      <w:r w:rsidRPr="00EC0F40">
        <w:rPr>
          <w:b/>
          <w:color w:val="1F497D"/>
          <w:sz w:val="32"/>
        </w:rPr>
        <w:t>!</w:t>
      </w:r>
    </w:p>
    <w:p w:rsidR="00210B55" w:rsidRPr="00037D46" w:rsidRDefault="00210B55" w:rsidP="00210B55">
      <w:pPr>
        <w:spacing w:line="276" w:lineRule="auto"/>
        <w:jc w:val="both"/>
        <w:rPr>
          <w:rFonts w:asciiTheme="minorHAnsi" w:eastAsiaTheme="minorHAnsi" w:hAnsiTheme="minorHAnsi" w:cstheme="minorHAnsi"/>
          <w:sz w:val="24"/>
          <w:lang w:val="en-US" w:eastAsia="en-US"/>
        </w:rPr>
      </w:pPr>
    </w:p>
    <w:p w:rsidR="00210B55" w:rsidRPr="00EC0F40" w:rsidRDefault="00EC0F40" w:rsidP="00742744">
      <w:pPr>
        <w:jc w:val="center"/>
        <w:rPr>
          <w:rFonts w:asciiTheme="minorHAnsi" w:hAnsiTheme="minorHAnsi" w:cstheme="minorHAnsi"/>
          <w:b/>
          <w:sz w:val="24"/>
        </w:rPr>
      </w:pPr>
      <w:r>
        <w:rPr>
          <w:rFonts w:asciiTheme="minorHAnsi" w:hAnsiTheme="minorHAnsi" w:cstheme="minorHAnsi"/>
          <w:b/>
          <w:sz w:val="24"/>
        </w:rPr>
        <w:t>End</w:t>
      </w:r>
    </w:p>
    <w:p w:rsidR="00CC5858" w:rsidRDefault="00CC5858" w:rsidP="00716E2B"/>
    <w:sectPr w:rsidR="00CC5858">
      <w:footerReference w:type="defaul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89D" w:rsidRDefault="0080789D" w:rsidP="00CC5858">
      <w:r>
        <w:separator/>
      </w:r>
    </w:p>
  </w:endnote>
  <w:endnote w:type="continuationSeparator" w:id="0">
    <w:p w:rsidR="0080789D" w:rsidRDefault="0080789D" w:rsidP="00CC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60941"/>
      <w:docPartObj>
        <w:docPartGallery w:val="Page Numbers (Bottom of Page)"/>
        <w:docPartUnique/>
      </w:docPartObj>
    </w:sdtPr>
    <w:sdtEndPr>
      <w:rPr>
        <w:noProof/>
      </w:rPr>
    </w:sdtEndPr>
    <w:sdtContent>
      <w:p w:rsidR="008504B7" w:rsidRDefault="008504B7">
        <w:pPr>
          <w:pStyle w:val="Footer"/>
          <w:jc w:val="right"/>
        </w:pPr>
        <w:r>
          <w:fldChar w:fldCharType="begin"/>
        </w:r>
        <w:r>
          <w:instrText xml:space="preserve"> PAGE   \* MERGEFORMAT </w:instrText>
        </w:r>
        <w:r>
          <w:fldChar w:fldCharType="separate"/>
        </w:r>
        <w:r w:rsidR="00742744">
          <w:rPr>
            <w:noProof/>
          </w:rPr>
          <w:t>1</w:t>
        </w:r>
        <w:r>
          <w:rPr>
            <w:noProof/>
          </w:rPr>
          <w:fldChar w:fldCharType="end"/>
        </w:r>
      </w:p>
    </w:sdtContent>
  </w:sdt>
  <w:p w:rsidR="00CC5858" w:rsidRPr="00A96C5D" w:rsidRDefault="00CC5858" w:rsidP="00A96C5D">
    <w:pPr>
      <w:spacing w:line="217" w:lineRule="exact"/>
      <w:ind w:left="119" w:right="-20"/>
      <w:rPr>
        <w:rFonts w:ascii="Arial" w:eastAsia="Arial" w:hAnsi="Arial" w:cs="Arial"/>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858" w:rsidRDefault="00CC5858" w:rsidP="006E13C8">
    <w:pPr>
      <w:spacing w:before="11"/>
      <w:ind w:right="-20"/>
      <w:rPr>
        <w:rFonts w:ascii="Arial" w:eastAsia="Arial" w:hAnsi="Arial" w:cs="Arial"/>
        <w:sz w:val="38"/>
        <w:szCs w:val="38"/>
      </w:rPr>
    </w:pPr>
    <w:r>
      <w:rPr>
        <w:rFonts w:ascii="Arial" w:eastAsia="Arial" w:hAnsi="Arial" w:cs="Arial"/>
        <w:b/>
        <w:bCs/>
        <w:color w:val="002866"/>
        <w:w w:val="103"/>
        <w:sz w:val="38"/>
        <w:szCs w:val="38"/>
      </w:rPr>
      <w:t>SeyCCAT</w:t>
    </w:r>
  </w:p>
  <w:p w:rsidR="00CC5858" w:rsidRDefault="00CC5858" w:rsidP="006E13C8">
    <w:pPr>
      <w:spacing w:before="8" w:line="120" w:lineRule="exact"/>
      <w:rPr>
        <w:sz w:val="12"/>
        <w:szCs w:val="12"/>
      </w:rPr>
    </w:pPr>
  </w:p>
  <w:p w:rsidR="00CC5858" w:rsidRDefault="00CC5858" w:rsidP="006E13C8">
    <w:pPr>
      <w:ind w:right="-23"/>
      <w:rPr>
        <w:rFonts w:ascii="Arial" w:eastAsia="Arial" w:hAnsi="Arial" w:cs="Arial"/>
        <w:sz w:val="16"/>
        <w:szCs w:val="16"/>
      </w:rPr>
    </w:pPr>
    <w:r>
      <w:rPr>
        <w:rFonts w:ascii="Arial" w:eastAsia="Arial" w:hAnsi="Arial" w:cs="Arial"/>
        <w:color w:val="312D2F"/>
        <w:sz w:val="16"/>
        <w:szCs w:val="16"/>
      </w:rPr>
      <w:t>SEYCH</w:t>
    </w:r>
    <w:r>
      <w:rPr>
        <w:rFonts w:ascii="Arial" w:eastAsia="Arial" w:hAnsi="Arial" w:cs="Arial"/>
        <w:color w:val="312D2F"/>
        <w:spacing w:val="-15"/>
        <w:sz w:val="16"/>
        <w:szCs w:val="16"/>
      </w:rPr>
      <w:t>E</w:t>
    </w:r>
    <w:r>
      <w:rPr>
        <w:rFonts w:ascii="Arial" w:eastAsia="Arial" w:hAnsi="Arial" w:cs="Arial"/>
        <w:color w:val="4D4949"/>
        <w:spacing w:val="-17"/>
        <w:sz w:val="16"/>
        <w:szCs w:val="16"/>
      </w:rPr>
      <w:t>L</w:t>
    </w:r>
    <w:r>
      <w:rPr>
        <w:rFonts w:ascii="Arial" w:eastAsia="Arial" w:hAnsi="Arial" w:cs="Arial"/>
        <w:color w:val="312D2F"/>
        <w:sz w:val="16"/>
        <w:szCs w:val="16"/>
      </w:rPr>
      <w:t>LES’</w:t>
    </w:r>
    <w:r>
      <w:rPr>
        <w:rFonts w:ascii="Arial" w:eastAsia="Arial" w:hAnsi="Arial" w:cs="Arial"/>
        <w:color w:val="312D2F"/>
        <w:spacing w:val="-1"/>
        <w:sz w:val="16"/>
        <w:szCs w:val="16"/>
      </w:rPr>
      <w:t xml:space="preserve"> </w:t>
    </w:r>
    <w:r>
      <w:rPr>
        <w:rFonts w:ascii="Arial" w:eastAsia="Arial" w:hAnsi="Arial" w:cs="Arial"/>
        <w:color w:val="312D2F"/>
        <w:w w:val="96"/>
        <w:sz w:val="16"/>
        <w:szCs w:val="16"/>
      </w:rPr>
      <w:t>CONSERVATION</w:t>
    </w:r>
    <w:r>
      <w:rPr>
        <w:rFonts w:ascii="Arial" w:eastAsia="Arial" w:hAnsi="Arial" w:cs="Arial"/>
        <w:color w:val="312D2F"/>
        <w:spacing w:val="-10"/>
        <w:w w:val="96"/>
        <w:sz w:val="16"/>
        <w:szCs w:val="16"/>
      </w:rPr>
      <w:t xml:space="preserve"> </w:t>
    </w:r>
    <w:r>
      <w:rPr>
        <w:rFonts w:ascii="Arial" w:eastAsia="Arial" w:hAnsi="Arial" w:cs="Arial"/>
        <w:color w:val="312D2F"/>
        <w:sz w:val="16"/>
        <w:szCs w:val="16"/>
      </w:rPr>
      <w:t>AND</w:t>
    </w:r>
    <w:r>
      <w:rPr>
        <w:rFonts w:ascii="Arial" w:eastAsia="Arial" w:hAnsi="Arial" w:cs="Arial"/>
        <w:color w:val="312D2F"/>
        <w:spacing w:val="-5"/>
        <w:sz w:val="16"/>
        <w:szCs w:val="16"/>
      </w:rPr>
      <w:t xml:space="preserve"> </w:t>
    </w:r>
    <w:r>
      <w:rPr>
        <w:rFonts w:ascii="Arial" w:eastAsia="Arial" w:hAnsi="Arial" w:cs="Arial"/>
        <w:color w:val="312D2F"/>
        <w:sz w:val="16"/>
        <w:szCs w:val="16"/>
      </w:rPr>
      <w:t>CLIMATE</w:t>
    </w:r>
    <w:r>
      <w:rPr>
        <w:rFonts w:ascii="Arial" w:eastAsia="Arial" w:hAnsi="Arial" w:cs="Arial"/>
        <w:color w:val="312D2F"/>
        <w:spacing w:val="-11"/>
        <w:sz w:val="16"/>
        <w:szCs w:val="16"/>
      </w:rPr>
      <w:t xml:space="preserve"> </w:t>
    </w:r>
    <w:r>
      <w:rPr>
        <w:rFonts w:ascii="Arial" w:eastAsia="Arial" w:hAnsi="Arial" w:cs="Arial"/>
        <w:color w:val="312D2F"/>
        <w:w w:val="95"/>
        <w:sz w:val="16"/>
        <w:szCs w:val="16"/>
      </w:rPr>
      <w:t>ADAPTATION</w:t>
    </w:r>
    <w:r>
      <w:rPr>
        <w:rFonts w:ascii="Arial" w:eastAsia="Arial" w:hAnsi="Arial" w:cs="Arial"/>
        <w:color w:val="312D2F"/>
        <w:spacing w:val="-11"/>
        <w:w w:val="95"/>
        <w:sz w:val="16"/>
        <w:szCs w:val="16"/>
      </w:rPr>
      <w:t xml:space="preserve"> </w:t>
    </w:r>
    <w:r>
      <w:rPr>
        <w:rFonts w:ascii="Arial" w:eastAsia="Arial" w:hAnsi="Arial" w:cs="Arial"/>
        <w:color w:val="312D2F"/>
        <w:w w:val="95"/>
        <w:sz w:val="16"/>
        <w:szCs w:val="16"/>
      </w:rPr>
      <w:t>TRU</w:t>
    </w:r>
    <w:r>
      <w:rPr>
        <w:rFonts w:ascii="Arial" w:eastAsia="Arial" w:hAnsi="Arial" w:cs="Arial"/>
        <w:color w:val="312D2F"/>
        <w:spacing w:val="-13"/>
        <w:w w:val="95"/>
        <w:sz w:val="16"/>
        <w:szCs w:val="16"/>
      </w:rPr>
      <w:t>S</w:t>
    </w:r>
    <w:r>
      <w:rPr>
        <w:rFonts w:ascii="Arial" w:eastAsia="Arial" w:hAnsi="Arial" w:cs="Arial"/>
        <w:color w:val="4D4949"/>
        <w:w w:val="111"/>
        <w:sz w:val="16"/>
        <w:szCs w:val="16"/>
      </w:rPr>
      <w:t>T</w:t>
    </w:r>
  </w:p>
  <w:p w:rsidR="00CC5858" w:rsidRPr="00981500" w:rsidRDefault="00CC5858" w:rsidP="006E13C8">
    <w:pPr>
      <w:rPr>
        <w:rFonts w:ascii="Times New Roman" w:hAnsi="Times New Roman"/>
        <w:b/>
        <w:sz w:val="36"/>
        <w:szCs w:val="36"/>
      </w:rPr>
    </w:pPr>
    <w:r>
      <w:rPr>
        <w:noProof/>
        <w:sz w:val="20"/>
        <w:szCs w:val="20"/>
        <w:lang w:val="en-US" w:eastAsia="en-US"/>
      </w:rPr>
      <w:drawing>
        <wp:anchor distT="0" distB="0" distL="114300" distR="114300" simplePos="0" relativeHeight="251660288" behindDoc="0" locked="0" layoutInCell="1" allowOverlap="1" wp14:anchorId="0DF33B16" wp14:editId="472E74FD">
          <wp:simplePos x="0" y="0"/>
          <wp:positionH relativeFrom="column">
            <wp:posOffset>4696460</wp:posOffset>
          </wp:positionH>
          <wp:positionV relativeFrom="paragraph">
            <wp:posOffset>152400</wp:posOffset>
          </wp:positionV>
          <wp:extent cx="259080" cy="25908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36"/>
        <w:szCs w:val="36"/>
        <w:lang w:val="en-US" w:eastAsia="en-US"/>
      </w:rPr>
      <w:drawing>
        <wp:anchor distT="0" distB="0" distL="114300" distR="114300" simplePos="0" relativeHeight="251661312" behindDoc="1" locked="0" layoutInCell="1" allowOverlap="1" wp14:anchorId="5C4AD803" wp14:editId="3E4DDD95">
          <wp:simplePos x="0" y="0"/>
          <wp:positionH relativeFrom="column">
            <wp:posOffset>5037455</wp:posOffset>
          </wp:positionH>
          <wp:positionV relativeFrom="paragraph">
            <wp:posOffset>152400</wp:posOffset>
          </wp:positionV>
          <wp:extent cx="250825" cy="2508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825" cy="250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36"/>
        <w:szCs w:val="36"/>
        <w:lang w:val="en-US" w:eastAsia="en-US"/>
      </w:rPr>
      <w:drawing>
        <wp:anchor distT="0" distB="0" distL="114300" distR="114300" simplePos="0" relativeHeight="251659264" behindDoc="0" locked="0" layoutInCell="1" allowOverlap="1" wp14:anchorId="4C3A6596" wp14:editId="7757F7C4">
          <wp:simplePos x="0" y="0"/>
          <wp:positionH relativeFrom="column">
            <wp:posOffset>5292302</wp:posOffset>
          </wp:positionH>
          <wp:positionV relativeFrom="paragraph">
            <wp:posOffset>150495</wp:posOffset>
          </wp:positionV>
          <wp:extent cx="349250" cy="2616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925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500">
      <w:rPr>
        <w:sz w:val="20"/>
      </w:rPr>
      <w:t xml:space="preserve">Oceangate House, Room 109, Flamboyant Avenue, Victoria, Mahe, Seychelles. </w:t>
    </w:r>
  </w:p>
  <w:p w:rsidR="00CC5858" w:rsidRPr="006E13C8" w:rsidRDefault="00CC5858" w:rsidP="006E13C8">
    <w:pPr>
      <w:pStyle w:val="Footer"/>
      <w:rPr>
        <w:sz w:val="20"/>
      </w:rPr>
    </w:pPr>
    <w:r w:rsidRPr="00981500">
      <w:rPr>
        <w:sz w:val="20"/>
      </w:rPr>
      <w:t>www.seyccat.org // info@seyccat.org // +248 432 5806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89D" w:rsidRDefault="0080789D" w:rsidP="00CC5858">
      <w:r>
        <w:separator/>
      </w:r>
    </w:p>
  </w:footnote>
  <w:footnote w:type="continuationSeparator" w:id="0">
    <w:p w:rsidR="0080789D" w:rsidRDefault="0080789D" w:rsidP="00CC58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749"/>
    <w:multiLevelType w:val="hybridMultilevel"/>
    <w:tmpl w:val="71648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67D5D"/>
    <w:multiLevelType w:val="hybridMultilevel"/>
    <w:tmpl w:val="387A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46FA0"/>
    <w:multiLevelType w:val="hybridMultilevel"/>
    <w:tmpl w:val="1A6032DA"/>
    <w:lvl w:ilvl="0" w:tplc="54105920">
      <w:start w:val="1"/>
      <w:numFmt w:val="bullet"/>
      <w:lvlText w:val=""/>
      <w:lvlJc w:val="left"/>
      <w:pPr>
        <w:ind w:left="720" w:hanging="360"/>
      </w:pPr>
      <w:rPr>
        <w:rFonts w:ascii="Symbol" w:hAnsi="Symbol" w:hint="default"/>
        <w:color w:val="0096B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32BD8"/>
    <w:multiLevelType w:val="hybridMultilevel"/>
    <w:tmpl w:val="02A25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A7D0D"/>
    <w:multiLevelType w:val="hybridMultilevel"/>
    <w:tmpl w:val="8F8205D6"/>
    <w:lvl w:ilvl="0" w:tplc="40FC77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A134E"/>
    <w:multiLevelType w:val="hybridMultilevel"/>
    <w:tmpl w:val="AA34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20CD9"/>
    <w:multiLevelType w:val="hybridMultilevel"/>
    <w:tmpl w:val="4BBCF53A"/>
    <w:lvl w:ilvl="0" w:tplc="04090001">
      <w:start w:val="1"/>
      <w:numFmt w:val="bullet"/>
      <w:lvlText w:val=""/>
      <w:lvlJc w:val="left"/>
      <w:pPr>
        <w:ind w:left="2880" w:hanging="360"/>
      </w:pPr>
      <w:rPr>
        <w:rFonts w:ascii="Symbol" w:hAnsi="Symbol" w:cs="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20A33D97"/>
    <w:multiLevelType w:val="hybridMultilevel"/>
    <w:tmpl w:val="29D89754"/>
    <w:lvl w:ilvl="0" w:tplc="04090001">
      <w:start w:val="1"/>
      <w:numFmt w:val="bullet"/>
      <w:lvlText w:val=""/>
      <w:lvlJc w:val="left"/>
      <w:pPr>
        <w:ind w:left="720" w:hanging="360"/>
      </w:pPr>
      <w:rPr>
        <w:rFonts w:ascii="Symbol" w:hAnsi="Symbol" w:hint="default"/>
      </w:rPr>
    </w:lvl>
    <w:lvl w:ilvl="1" w:tplc="4E9E79C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A364E"/>
    <w:multiLevelType w:val="hybridMultilevel"/>
    <w:tmpl w:val="11680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216F20"/>
    <w:multiLevelType w:val="hybridMultilevel"/>
    <w:tmpl w:val="E3BE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91999"/>
    <w:multiLevelType w:val="hybridMultilevel"/>
    <w:tmpl w:val="7A6E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B46A6"/>
    <w:multiLevelType w:val="hybridMultilevel"/>
    <w:tmpl w:val="02D85D62"/>
    <w:lvl w:ilvl="0" w:tplc="54105920">
      <w:start w:val="1"/>
      <w:numFmt w:val="bullet"/>
      <w:lvlText w:val=""/>
      <w:lvlJc w:val="left"/>
      <w:pPr>
        <w:ind w:left="1480" w:hanging="360"/>
      </w:pPr>
      <w:rPr>
        <w:rFonts w:ascii="Symbol" w:hAnsi="Symbol" w:hint="default"/>
        <w:color w:val="0096B1"/>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2" w15:restartNumberingAfterBreak="0">
    <w:nsid w:val="451E445E"/>
    <w:multiLevelType w:val="hybridMultilevel"/>
    <w:tmpl w:val="0ACEE5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134C9"/>
    <w:multiLevelType w:val="hybridMultilevel"/>
    <w:tmpl w:val="67A4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C154C"/>
    <w:multiLevelType w:val="hybridMultilevel"/>
    <w:tmpl w:val="7B784CA2"/>
    <w:lvl w:ilvl="0" w:tplc="3F10BAB0">
      <w:start w:val="1"/>
      <w:numFmt w:val="bullet"/>
      <w:lvlText w:val="–"/>
      <w:lvlJc w:val="left"/>
      <w:pPr>
        <w:ind w:left="900" w:hanging="270"/>
      </w:pPr>
    </w:lvl>
    <w:lvl w:ilvl="1" w:tplc="909AD710">
      <w:numFmt w:val="decimal"/>
      <w:lvlText w:val=""/>
      <w:lvlJc w:val="left"/>
    </w:lvl>
    <w:lvl w:ilvl="2" w:tplc="3E9E8914">
      <w:numFmt w:val="decimal"/>
      <w:lvlText w:val=""/>
      <w:lvlJc w:val="left"/>
    </w:lvl>
    <w:lvl w:ilvl="3" w:tplc="6302DC76">
      <w:numFmt w:val="decimal"/>
      <w:lvlText w:val=""/>
      <w:lvlJc w:val="left"/>
    </w:lvl>
    <w:lvl w:ilvl="4" w:tplc="46F0C30A">
      <w:numFmt w:val="decimal"/>
      <w:lvlText w:val=""/>
      <w:lvlJc w:val="left"/>
    </w:lvl>
    <w:lvl w:ilvl="5" w:tplc="DE62D1A8">
      <w:numFmt w:val="decimal"/>
      <w:lvlText w:val=""/>
      <w:lvlJc w:val="left"/>
    </w:lvl>
    <w:lvl w:ilvl="6" w:tplc="B2DE9DF4">
      <w:numFmt w:val="decimal"/>
      <w:lvlText w:val=""/>
      <w:lvlJc w:val="left"/>
    </w:lvl>
    <w:lvl w:ilvl="7" w:tplc="1D08247A">
      <w:numFmt w:val="decimal"/>
      <w:lvlText w:val=""/>
      <w:lvlJc w:val="left"/>
    </w:lvl>
    <w:lvl w:ilvl="8" w:tplc="A23670D2">
      <w:numFmt w:val="decimal"/>
      <w:lvlText w:val=""/>
      <w:lvlJc w:val="left"/>
    </w:lvl>
  </w:abstractNum>
  <w:num w:numId="1">
    <w:abstractNumId w:val="5"/>
  </w:num>
  <w:num w:numId="2">
    <w:abstractNumId w:val="4"/>
  </w:num>
  <w:num w:numId="3">
    <w:abstractNumId w:val="12"/>
  </w:num>
  <w:num w:numId="4">
    <w:abstractNumId w:val="8"/>
  </w:num>
  <w:num w:numId="5">
    <w:abstractNumId w:val="2"/>
  </w:num>
  <w:num w:numId="6">
    <w:abstractNumId w:val="11"/>
  </w:num>
  <w:num w:numId="7">
    <w:abstractNumId w:val="0"/>
  </w:num>
  <w:num w:numId="8">
    <w:abstractNumId w:val="6"/>
  </w:num>
  <w:num w:numId="9">
    <w:abstractNumId w:val="9"/>
  </w:num>
  <w:num w:numId="10">
    <w:abstractNumId w:val="1"/>
  </w:num>
  <w:num w:numId="11">
    <w:abstractNumId w:val="13"/>
  </w:num>
  <w:num w:numId="12">
    <w:abstractNumId w:val="7"/>
  </w:num>
  <w:num w:numId="13">
    <w:abstractNumId w:val="10"/>
  </w:num>
  <w:num w:numId="14">
    <w:abstractNumId w:val="3"/>
  </w:num>
  <w:num w:numId="15">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SxMLC0NLUwMzI0MDNV0lEKTi0uzszPAykwrAUAm1WWhiwAAAA="/>
  </w:docVars>
  <w:rsids>
    <w:rsidRoot w:val="00CC5858"/>
    <w:rsid w:val="00034A7C"/>
    <w:rsid w:val="00037D46"/>
    <w:rsid w:val="00054CA9"/>
    <w:rsid w:val="00083C5F"/>
    <w:rsid w:val="000D1270"/>
    <w:rsid w:val="000D5B27"/>
    <w:rsid w:val="00146CC9"/>
    <w:rsid w:val="001F0075"/>
    <w:rsid w:val="001F35E0"/>
    <w:rsid w:val="002003FA"/>
    <w:rsid w:val="00202CC0"/>
    <w:rsid w:val="00210B55"/>
    <w:rsid w:val="002B3E64"/>
    <w:rsid w:val="00333D7C"/>
    <w:rsid w:val="00392AF3"/>
    <w:rsid w:val="00490A69"/>
    <w:rsid w:val="004E43FC"/>
    <w:rsid w:val="005659E5"/>
    <w:rsid w:val="005A3744"/>
    <w:rsid w:val="005D3574"/>
    <w:rsid w:val="005F7370"/>
    <w:rsid w:val="0061502A"/>
    <w:rsid w:val="00661E62"/>
    <w:rsid w:val="006E1092"/>
    <w:rsid w:val="00705834"/>
    <w:rsid w:val="00716AB9"/>
    <w:rsid w:val="00716E2B"/>
    <w:rsid w:val="00723DC1"/>
    <w:rsid w:val="00727809"/>
    <w:rsid w:val="007412CE"/>
    <w:rsid w:val="00742744"/>
    <w:rsid w:val="008021F7"/>
    <w:rsid w:val="0080789D"/>
    <w:rsid w:val="0081483B"/>
    <w:rsid w:val="00834B98"/>
    <w:rsid w:val="00837573"/>
    <w:rsid w:val="00841365"/>
    <w:rsid w:val="008504B7"/>
    <w:rsid w:val="008D0DCB"/>
    <w:rsid w:val="008D24AF"/>
    <w:rsid w:val="00952E19"/>
    <w:rsid w:val="009704E3"/>
    <w:rsid w:val="009A2291"/>
    <w:rsid w:val="009A3166"/>
    <w:rsid w:val="009F7682"/>
    <w:rsid w:val="00A12699"/>
    <w:rsid w:val="00A1578A"/>
    <w:rsid w:val="00A8185F"/>
    <w:rsid w:val="00A85D52"/>
    <w:rsid w:val="00AE1935"/>
    <w:rsid w:val="00B73A23"/>
    <w:rsid w:val="00BB4DB6"/>
    <w:rsid w:val="00BD402F"/>
    <w:rsid w:val="00BE179A"/>
    <w:rsid w:val="00C17770"/>
    <w:rsid w:val="00C47312"/>
    <w:rsid w:val="00C54E20"/>
    <w:rsid w:val="00C72CBB"/>
    <w:rsid w:val="00C93596"/>
    <w:rsid w:val="00CB7977"/>
    <w:rsid w:val="00CC5858"/>
    <w:rsid w:val="00CD344F"/>
    <w:rsid w:val="00CE38AD"/>
    <w:rsid w:val="00D256B9"/>
    <w:rsid w:val="00D372BD"/>
    <w:rsid w:val="00D41EEB"/>
    <w:rsid w:val="00DA4F35"/>
    <w:rsid w:val="00DB0088"/>
    <w:rsid w:val="00E37503"/>
    <w:rsid w:val="00E42B25"/>
    <w:rsid w:val="00E51DF6"/>
    <w:rsid w:val="00E674C5"/>
    <w:rsid w:val="00EC0F40"/>
    <w:rsid w:val="00EC33E2"/>
    <w:rsid w:val="00FD7FF7"/>
    <w:rsid w:val="00FE2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6DA1E"/>
  <w15:chartTrackingRefBased/>
  <w15:docId w15:val="{33645324-E1BF-46BD-B5FA-42FEBBEC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 MaPP"/>
    <w:qFormat/>
    <w:rsid w:val="00FE2D14"/>
    <w:pPr>
      <w:spacing w:after="0" w:line="240" w:lineRule="auto"/>
    </w:pPr>
    <w:rPr>
      <w:rFonts w:ascii="Calibri" w:eastAsia="Times New Roman" w:hAnsi="Calibri" w:cs="Times New Roman"/>
      <w:szCs w:val="24"/>
      <w:lang w:eastAsia="en-CA"/>
    </w:rPr>
  </w:style>
  <w:style w:type="paragraph" w:styleId="Heading1">
    <w:name w:val="heading 1"/>
    <w:basedOn w:val="Normal"/>
    <w:next w:val="Normal"/>
    <w:link w:val="Heading1Char"/>
    <w:uiPriority w:val="9"/>
    <w:qFormat/>
    <w:rsid w:val="00CC585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FirstPage">
    <w:name w:val="Report Title First Page"/>
    <w:basedOn w:val="Heading1"/>
    <w:rsid w:val="00CC5858"/>
    <w:pPr>
      <w:keepLines w:val="0"/>
      <w:pBdr>
        <w:bottom w:val="single" w:sz="24" w:space="7" w:color="6D7076"/>
      </w:pBdr>
      <w:spacing w:before="360" w:after="180"/>
    </w:pPr>
    <w:rPr>
      <w:rFonts w:ascii="Calibri" w:eastAsia="Times New Roman" w:hAnsi="Calibri" w:cs="Times New Roman"/>
      <w:b/>
      <w:caps/>
      <w:color w:val="6D7076"/>
      <w:spacing w:val="20"/>
      <w:kern w:val="32"/>
      <w:sz w:val="72"/>
    </w:rPr>
  </w:style>
  <w:style w:type="character" w:customStyle="1" w:styleId="CoverPage-NameofPresenter">
    <w:name w:val="Cover Page - Name of Presenter"/>
    <w:rsid w:val="00CC5858"/>
    <w:rPr>
      <w:rFonts w:ascii="Calibri" w:hAnsi="Calibri"/>
      <w:color w:val="0067AC"/>
      <w:sz w:val="24"/>
    </w:rPr>
  </w:style>
  <w:style w:type="character" w:styleId="Hyperlink">
    <w:name w:val="Hyperlink"/>
    <w:basedOn w:val="DefaultParagraphFont"/>
    <w:uiPriority w:val="99"/>
    <w:unhideWhenUsed/>
    <w:rsid w:val="00CC5858"/>
    <w:rPr>
      <w:color w:val="0563C1" w:themeColor="hyperlink"/>
      <w:u w:val="single"/>
    </w:rPr>
  </w:style>
  <w:style w:type="paragraph" w:styleId="ListParagraph">
    <w:name w:val="List Paragraph"/>
    <w:basedOn w:val="Normal"/>
    <w:uiPriority w:val="34"/>
    <w:qFormat/>
    <w:rsid w:val="00CC5858"/>
    <w:pPr>
      <w:ind w:left="720"/>
      <w:contextualSpacing/>
    </w:pPr>
  </w:style>
  <w:style w:type="paragraph" w:styleId="Footer">
    <w:name w:val="footer"/>
    <w:basedOn w:val="Normal"/>
    <w:link w:val="FooterChar"/>
    <w:uiPriority w:val="99"/>
    <w:unhideWhenUsed/>
    <w:rsid w:val="00CC5858"/>
    <w:pPr>
      <w:tabs>
        <w:tab w:val="center" w:pos="4320"/>
        <w:tab w:val="right" w:pos="8640"/>
      </w:tabs>
    </w:pPr>
  </w:style>
  <w:style w:type="character" w:customStyle="1" w:styleId="FooterChar">
    <w:name w:val="Footer Char"/>
    <w:basedOn w:val="DefaultParagraphFont"/>
    <w:link w:val="Footer"/>
    <w:uiPriority w:val="99"/>
    <w:rsid w:val="00CC5858"/>
    <w:rPr>
      <w:rFonts w:ascii="Calibri" w:eastAsia="Times New Roman" w:hAnsi="Calibri" w:cs="Times New Roman"/>
      <w:szCs w:val="24"/>
      <w:lang w:eastAsia="en-CA"/>
    </w:rPr>
  </w:style>
  <w:style w:type="character" w:styleId="FootnoteReference">
    <w:name w:val="footnote reference"/>
    <w:basedOn w:val="DefaultParagraphFont"/>
    <w:uiPriority w:val="99"/>
    <w:unhideWhenUsed/>
    <w:rsid w:val="00CC5858"/>
    <w:rPr>
      <w:vertAlign w:val="superscript"/>
    </w:rPr>
  </w:style>
  <w:style w:type="character" w:customStyle="1" w:styleId="Heading1Char">
    <w:name w:val="Heading 1 Char"/>
    <w:basedOn w:val="DefaultParagraphFont"/>
    <w:link w:val="Heading1"/>
    <w:uiPriority w:val="9"/>
    <w:rsid w:val="00CC5858"/>
    <w:rPr>
      <w:rFonts w:asciiTheme="majorHAnsi" w:eastAsiaTheme="majorEastAsia" w:hAnsiTheme="majorHAnsi" w:cstheme="majorBidi"/>
      <w:color w:val="2E74B5" w:themeColor="accent1" w:themeShade="BF"/>
      <w:sz w:val="32"/>
      <w:szCs w:val="32"/>
      <w:lang w:eastAsia="en-CA"/>
    </w:rPr>
  </w:style>
  <w:style w:type="paragraph" w:styleId="Header">
    <w:name w:val="header"/>
    <w:basedOn w:val="Normal"/>
    <w:link w:val="HeaderChar"/>
    <w:uiPriority w:val="99"/>
    <w:unhideWhenUsed/>
    <w:rsid w:val="008504B7"/>
    <w:pPr>
      <w:tabs>
        <w:tab w:val="center" w:pos="4680"/>
        <w:tab w:val="right" w:pos="9360"/>
      </w:tabs>
    </w:pPr>
  </w:style>
  <w:style w:type="character" w:customStyle="1" w:styleId="HeaderChar">
    <w:name w:val="Header Char"/>
    <w:basedOn w:val="DefaultParagraphFont"/>
    <w:link w:val="Header"/>
    <w:uiPriority w:val="99"/>
    <w:rsid w:val="008504B7"/>
    <w:rPr>
      <w:rFonts w:ascii="Calibri" w:eastAsia="Times New Roman" w:hAnsi="Calibri" w:cs="Times New Roman"/>
      <w:szCs w:val="24"/>
      <w:lang w:eastAsia="en-CA"/>
    </w:rPr>
  </w:style>
  <w:style w:type="character" w:styleId="CommentReference">
    <w:name w:val="annotation reference"/>
    <w:basedOn w:val="DefaultParagraphFont"/>
    <w:uiPriority w:val="99"/>
    <w:semiHidden/>
    <w:unhideWhenUsed/>
    <w:rsid w:val="00C72CBB"/>
    <w:rPr>
      <w:sz w:val="16"/>
      <w:szCs w:val="16"/>
    </w:rPr>
  </w:style>
  <w:style w:type="paragraph" w:styleId="CommentText">
    <w:name w:val="annotation text"/>
    <w:basedOn w:val="Normal"/>
    <w:link w:val="CommentTextChar"/>
    <w:uiPriority w:val="99"/>
    <w:semiHidden/>
    <w:unhideWhenUsed/>
    <w:rsid w:val="00C72CBB"/>
    <w:rPr>
      <w:sz w:val="20"/>
      <w:szCs w:val="20"/>
    </w:rPr>
  </w:style>
  <w:style w:type="character" w:customStyle="1" w:styleId="CommentTextChar">
    <w:name w:val="Comment Text Char"/>
    <w:basedOn w:val="DefaultParagraphFont"/>
    <w:link w:val="CommentText"/>
    <w:uiPriority w:val="99"/>
    <w:semiHidden/>
    <w:rsid w:val="00C72CBB"/>
    <w:rPr>
      <w:rFonts w:ascii="Calibri" w:eastAsia="Times New Roman" w:hAnsi="Calibri"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C72CBB"/>
    <w:rPr>
      <w:b/>
      <w:bCs/>
    </w:rPr>
  </w:style>
  <w:style w:type="character" w:customStyle="1" w:styleId="CommentSubjectChar">
    <w:name w:val="Comment Subject Char"/>
    <w:basedOn w:val="CommentTextChar"/>
    <w:link w:val="CommentSubject"/>
    <w:uiPriority w:val="99"/>
    <w:semiHidden/>
    <w:rsid w:val="00C72CBB"/>
    <w:rPr>
      <w:rFonts w:ascii="Calibri" w:eastAsia="Times New Roman" w:hAnsi="Calibri" w:cs="Times New Roman"/>
      <w:b/>
      <w:bCs/>
      <w:sz w:val="20"/>
      <w:szCs w:val="20"/>
      <w:lang w:eastAsia="en-CA"/>
    </w:rPr>
  </w:style>
  <w:style w:type="paragraph" w:styleId="BalloonText">
    <w:name w:val="Balloon Text"/>
    <w:basedOn w:val="Normal"/>
    <w:link w:val="BalloonTextChar"/>
    <w:uiPriority w:val="99"/>
    <w:semiHidden/>
    <w:unhideWhenUsed/>
    <w:rsid w:val="00C72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BB"/>
    <w:rPr>
      <w:rFonts w:ascii="Segoe UI" w:eastAsia="Times New Roman" w:hAnsi="Segoe UI" w:cs="Segoe UI"/>
      <w:sz w:val="18"/>
      <w:szCs w:val="18"/>
      <w:lang w:eastAsia="en-CA"/>
    </w:rPr>
  </w:style>
  <w:style w:type="paragraph" w:styleId="NormalWeb">
    <w:name w:val="Normal (Web)"/>
    <w:basedOn w:val="Normal"/>
    <w:uiPriority w:val="99"/>
    <w:unhideWhenUsed/>
    <w:rsid w:val="00BB4DB6"/>
    <w:pPr>
      <w:spacing w:before="100" w:beforeAutospacing="1" w:after="100" w:afterAutospacing="1"/>
    </w:pPr>
    <w:rPr>
      <w:rFonts w:ascii="Times New Roman" w:hAnsi="Times New Roman"/>
      <w:sz w:val="24"/>
      <w:lang w:val="en-US" w:eastAsia="en-US"/>
    </w:rPr>
  </w:style>
  <w:style w:type="paragraph" w:customStyle="1" w:styleId="Default">
    <w:name w:val="Default"/>
    <w:rsid w:val="00FD7FF7"/>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4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eyccat.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yccat.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Thembie Mangengwa</cp:lastModifiedBy>
  <cp:revision>2</cp:revision>
  <dcterms:created xsi:type="dcterms:W3CDTF">2026-03-26T12:14:00Z</dcterms:created>
  <dcterms:modified xsi:type="dcterms:W3CDTF">2026-03-26T12:14:00Z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3aa424c2b438e19ceda0df098cf52a870586cee3826a2f3daab70bbaf26bc308</vt:lpwstr>
  </property>
</Properties>
</file>